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before="127" w:lineRule="auto"/>
        <w:ind w:left="221" w:firstLine="0"/>
        <w:rPr>
          <w:rFonts w:ascii="Calibri" w:cs="Calibri" w:eastAsia="Calibri" w:hAnsi="Calibri"/>
          <w:b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-543558</wp:posOffset>
            </wp:positionV>
            <wp:extent cx="1892606" cy="773462"/>
            <wp:effectExtent b="0" l="0" r="0" t="0"/>
            <wp:wrapNone/>
            <wp:docPr descr="A close up of a logo&#10;&#10;Description automatically generated" id="28" name="image1.png"/>
            <a:graphic>
              <a:graphicData uri="http://schemas.openxmlformats.org/drawingml/2006/picture">
                <pic:pic>
                  <pic:nvPicPr>
                    <pic:cNvPr descr="A close up of a logo&#10;&#10;Description automatically generated" id="0" name="image1.png"/>
                    <pic:cNvPicPr preferRelativeResize="0"/>
                  </pic:nvPicPr>
                  <pic:blipFill>
                    <a:blip r:embed="rId7"/>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2">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3">
      <w:pPr>
        <w:pageBreakBefore w:val="0"/>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Whistleblowing Policy </w:t>
      </w:r>
    </w:p>
    <w:p w:rsidR="00000000" w:rsidDel="00000000" w:rsidP="00000000" w:rsidRDefault="00000000" w:rsidRPr="00000000" w14:paraId="00000004">
      <w:pPr>
        <w:spacing w:line="276" w:lineRule="auto"/>
        <w:ind w:firstLine="126"/>
        <w:rPr>
          <w:rFonts w:ascii="Brandon Grotesque" w:cs="Brandon Grotesque" w:eastAsia="Brandon Grotesque" w:hAnsi="Brandon Grotesque"/>
          <w:b w:val="1"/>
          <w:color w:val="ffcb05"/>
          <w:sz w:val="40"/>
          <w:szCs w:val="40"/>
        </w:rPr>
      </w:pPr>
      <w:r w:rsidDel="00000000" w:rsidR="00000000" w:rsidRPr="00000000">
        <w:rPr>
          <w:rFonts w:ascii="Brandon Grotesque" w:cs="Brandon Grotesque" w:eastAsia="Brandon Grotesque" w:hAnsi="Brandon Grotesque"/>
          <w:b w:val="1"/>
          <w:color w:val="ffcb05"/>
          <w:sz w:val="40"/>
          <w:szCs w:val="40"/>
          <w:rtl w:val="0"/>
        </w:rPr>
        <w:t xml:space="preserve">Journey Independent School</w:t>
      </w:r>
    </w:p>
    <w:p w:rsidR="00000000" w:rsidDel="00000000" w:rsidP="00000000" w:rsidRDefault="00000000" w:rsidRPr="00000000" w14:paraId="00000005">
      <w:pPr>
        <w:pageBreakBefore w:val="0"/>
        <w:spacing w:line="276"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6">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7">
      <w:pPr>
        <w:pStyle w:val="Heading1"/>
        <w:pageBreakBefore w:val="0"/>
        <w:spacing w:before="127" w:lineRule="auto"/>
        <w:ind w:left="221" w:firstLine="0"/>
        <w:rPr>
          <w:rFonts w:ascii="Calibri" w:cs="Calibri" w:eastAsia="Calibri" w:hAnsi="Calibri"/>
          <w:b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-752473</wp:posOffset>
            </wp:positionH>
            <wp:positionV relativeFrom="paragraph">
              <wp:posOffset>9525</wp:posOffset>
            </wp:positionV>
            <wp:extent cx="7549515" cy="6184900"/>
            <wp:effectExtent b="0" l="0" r="0" t="0"/>
            <wp:wrapSquare wrapText="bothSides" distB="0" distT="0" distL="0" distR="0"/>
            <wp:docPr id="3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8">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9">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A">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B">
      <w:pPr>
        <w:pStyle w:val="Heading1"/>
        <w:pageBreakBefore w:val="0"/>
        <w:spacing w:before="127" w:lineRule="auto"/>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C">
      <w:pPr>
        <w:pStyle w:val="Heading1"/>
        <w:pageBreakBefore w:val="0"/>
        <w:spacing w:before="127" w:lineRule="auto"/>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D">
      <w:pPr>
        <w:pageBreakBefore w:val="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Whistleblowing Policy</w:t>
      </w:r>
    </w:p>
    <w:sdt>
      <w:sdtPr>
        <w:id w:val="1787382287"/>
        <w:docPartObj>
          <w:docPartGallery w:val="Table of Contents"/>
          <w:docPartUnique w:val="1"/>
        </w:docPartObj>
      </w:sdtPr>
      <w:sdtContent>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Aims</w:t>
              <w:tab/>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Scope of the Procedure</w:t>
              <w:tab/>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pageBreakBefore w:val="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4">
      <w:pPr>
        <w:pageBreakBefore w:val="0"/>
        <w:tabs>
          <w:tab w:val="left" w:leader="none" w:pos="1110"/>
        </w:tabs>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Whistleblowing Procedure</w:t>
      </w:r>
    </w:p>
    <w:sdt>
      <w:sdtPr>
        <w:id w:val="-1633495700"/>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to Raise Concerns</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the Centre will Respond</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Concerns Can be Taken Further</w:t>
              <w:tab/>
              <w:t xml:space="preserve">9</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459"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ageBreakBefore w:val="0"/>
        <w:tabs>
          <w:tab w:val="left" w:leader="none" w:pos="3405"/>
        </w:tabs>
        <w:rPr>
          <w:rFonts w:ascii="Calibri" w:cs="Calibri" w:eastAsia="Calibri" w:hAnsi="Calibri"/>
          <w:sz w:val="24"/>
          <w:szCs w:val="24"/>
        </w:rPr>
        <w:sectPr>
          <w:headerReference r:id="rId9" w:type="default"/>
          <w:footerReference r:id="rId10" w:type="default"/>
          <w:footerReference r:id="rId11" w:type="first"/>
          <w:pgSz w:h="16860" w:w="11920" w:orient="portrait"/>
          <w:pgMar w:bottom="1380" w:top="980" w:left="1220" w:right="1340" w:header="690" w:footer="1192"/>
          <w:pgNumType w:start="1"/>
          <w:titlePg w:val="1"/>
        </w:sect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1"/>
        <w:pageBreakBefore w:val="0"/>
        <w:ind w:left="221" w:firstLine="0"/>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Whistleblowing Policy</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50" w:line="240" w:lineRule="auto"/>
        <w:ind w:left="941" w:right="0" w:hanging="721"/>
        <w:jc w:val="left"/>
        <w:rPr>
          <w:rFonts w:ascii="Calibri" w:cs="Calibri" w:eastAsia="Calibri" w:hAnsi="Calibri"/>
          <w:b w:val="0"/>
          <w:i w:val="0"/>
          <w:smallCaps w:val="0"/>
          <w:strike w:val="0"/>
          <w:color w:val="ffc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c000"/>
          <w:sz w:val="24"/>
          <w:szCs w:val="24"/>
          <w:u w:val="none"/>
          <w:shd w:fill="auto" w:val="clear"/>
          <w:vertAlign w:val="baseline"/>
          <w:rtl w:val="0"/>
        </w:rPr>
        <w:t xml:space="preserve">Introduction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Journey </w:t>
      </w:r>
      <w:r w:rsidDel="00000000" w:rsidR="00000000" w:rsidRPr="00000000">
        <w:rPr>
          <w:rFonts w:ascii="Calibri" w:cs="Calibri" w:eastAsia="Calibri" w:hAnsi="Calibri"/>
          <w:sz w:val="24"/>
          <w:szCs w:val="24"/>
          <w:rtl w:val="0"/>
        </w:rPr>
        <w:t xml:space="preserve">Independent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committed to achieving the highest possible standards of service and ethical standards.</w:t>
      </w:r>
    </w:p>
    <w:p w:rsidR="00000000" w:rsidDel="00000000" w:rsidP="00000000" w:rsidRDefault="00000000" w:rsidRPr="00000000" w14:paraId="0000002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42"/>
        </w:tabs>
        <w:spacing w:after="0" w:before="287"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Whistleblowing is the reporting by workers/employees, or ex-workers/employees, of wrongdoing such as fraud, malpractice, mismanagement, breach of health and safety law, child safeguarding concerns or any other illegal or unethical act on the part of management, the governing body, the Centre or by fellow employees.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05"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examples of malpractice or illegal or unethical practice that may be reported under the Whistleblowing Procedure include:</w:t>
      </w:r>
    </w:p>
    <w:p w:rsidR="00000000" w:rsidDel="00000000" w:rsidP="00000000" w:rsidRDefault="00000000" w:rsidRPr="00000000" w14:paraId="00000023">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122" w:line="201" w:lineRule="auto"/>
        <w:ind w:left="1302" w:right="105"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criminal offence (e.g. fraud, corruption or theft) has been/is likely to be committed;</w:t>
      </w:r>
    </w:p>
    <w:p w:rsidR="00000000" w:rsidDel="00000000" w:rsidP="00000000" w:rsidRDefault="00000000" w:rsidRPr="00000000" w14:paraId="0000002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0"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miscarriage of justice has been/is likely to occur;</w:t>
      </w:r>
    </w:p>
    <w:p w:rsidR="00000000" w:rsidDel="00000000" w:rsidP="00000000" w:rsidRDefault="00000000" w:rsidRPr="00000000" w14:paraId="0000002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health or safety of any individual has been/is likely to be endangered;</w:t>
      </w:r>
    </w:p>
    <w:p w:rsidR="00000000" w:rsidDel="00000000" w:rsidP="00000000" w:rsidRDefault="00000000" w:rsidRPr="00000000" w14:paraId="0000002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environment has been/is likely to be damaged;</w:t>
      </w:r>
    </w:p>
    <w:p w:rsidR="00000000" w:rsidDel="00000000" w:rsidP="00000000" w:rsidRDefault="00000000" w:rsidRPr="00000000" w14:paraId="0000002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funds are being used in an unauthorised manner;</w:t>
      </w:r>
    </w:p>
    <w:p w:rsidR="00000000" w:rsidDel="00000000" w:rsidP="00000000" w:rsidRDefault="00000000" w:rsidRPr="00000000" w14:paraId="0000002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06"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Centre’s governance arrangements have or are not being observed or are being breached by students or staff;</w:t>
      </w:r>
    </w:p>
    <w:p w:rsidR="00000000" w:rsidDel="00000000" w:rsidP="00000000" w:rsidRDefault="00000000" w:rsidRPr="00000000" w14:paraId="0000002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7"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Sexual or physical abuse of any employee or student is taking place (subject to the Child Safeguarding Procedure in the case of children);</w:t>
      </w:r>
    </w:p>
    <w:p w:rsidR="00000000" w:rsidDel="00000000" w:rsidP="00000000" w:rsidRDefault="00000000" w:rsidRPr="00000000" w14:paraId="0000002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6"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Discrimination is occurring to any member of staff or student as defined within the Equalities Act 2010 (where it has not been successfully addressed through the Dignity at Work Policy);</w:t>
      </w:r>
    </w:p>
    <w:p w:rsidR="00000000" w:rsidDel="00000000" w:rsidP="00000000" w:rsidRDefault="00000000" w:rsidRPr="00000000" w14:paraId="0000002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80"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form of improper action or conduct is taking place;</w:t>
      </w:r>
    </w:p>
    <w:p w:rsidR="00000000" w:rsidDel="00000000" w:rsidP="00000000" w:rsidRDefault="00000000" w:rsidRPr="00000000" w14:paraId="0000002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67"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examination maladministration;</w:t>
      </w:r>
    </w:p>
    <w:p w:rsidR="00000000" w:rsidDel="00000000" w:rsidP="00000000" w:rsidRDefault="00000000" w:rsidRPr="00000000" w14:paraId="0000002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05"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relating to any of the above is being deliberately concealed or attempts are being made to conceal the same.</w:t>
      </w:r>
    </w:p>
    <w:p w:rsidR="00000000" w:rsidDel="00000000" w:rsidP="00000000" w:rsidRDefault="00000000" w:rsidRPr="00000000" w14:paraId="0000002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288" w:line="201" w:lineRule="auto"/>
        <w:ind w:left="926" w:right="106" w:hanging="706"/>
        <w:jc w:val="both"/>
        <w:rPr>
          <w:rFonts w:ascii="Calibri" w:cs="Calibri" w:eastAsia="Calibri" w:hAnsi="Calibri"/>
          <w:b w:val="0"/>
          <w:i w:val="0"/>
          <w:smallCaps w:val="0"/>
          <w:strike w:val="0"/>
          <w:color w:val="000000"/>
          <w:sz w:val="24"/>
          <w:szCs w:val="24"/>
          <w:u w:val="none"/>
          <w:shd w:fill="auto" w:val="clear"/>
          <w:vertAlign w:val="baseline"/>
        </w:rPr>
        <w:sectPr>
          <w:headerReference r:id="rId12" w:type="default"/>
          <w:footerReference r:id="rId13" w:type="default"/>
          <w:type w:val="nextPage"/>
          <w:pgSz w:h="16860" w:w="11920" w:orient="portrait"/>
          <w:pgMar w:bottom="1380" w:top="1380" w:left="1220" w:right="1340" w:header="690" w:footer="1192"/>
          <w:pgNumType w:start="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does not remove a worker/employee’s rights to raise their concerns directly with the Police, or other external body, if they become aware, or suspect, illegal activity is taking place within the Centre, including the abuse of a child or children. Nor does this policy negate the statutory rights of a worker/employee. However, workers/employees would be encouraged to also raise this with someone at an appropriate level within the Centre so that the Centre is able to offer full </w:t>
      </w:r>
      <w:r w:rsidDel="00000000" w:rsidR="00000000" w:rsidRPr="00000000">
        <w:rPr>
          <w:rFonts w:ascii="Calibri" w:cs="Calibri" w:eastAsia="Calibri" w:hAnsi="Calibri"/>
          <w:sz w:val="24"/>
          <w:szCs w:val="24"/>
          <w:rtl w:val="0"/>
        </w:rPr>
        <w:t xml:space="preserve">cooperation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Police. In the case of child safeguarding this matter should be referred to the Centre’s Designated Safeguarding  Person.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30" w:line="201" w:lineRule="auto"/>
        <w:ind w:left="926" w:right="111"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prepared this policy and procedure so as to enable workers/employees to raise their concerns about such malpractice(s) at an early stage and in the right way. The Centre </w:t>
      </w:r>
      <w:r w:rsidDel="00000000" w:rsidR="00000000" w:rsidRPr="00000000">
        <w:rPr>
          <w:rFonts w:ascii="Calibri" w:cs="Calibri" w:eastAsia="Calibri" w:hAnsi="Calibri"/>
          <w:sz w:val="24"/>
          <w:szCs w:val="24"/>
          <w:rtl w:val="0"/>
        </w:rPr>
        <w:t xml:space="preserve">encourages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workers/employees to raise </w:t>
      </w:r>
      <w:r w:rsidDel="00000000" w:rsidR="00000000" w:rsidRPr="00000000">
        <w:rPr>
          <w:rFonts w:ascii="Calibri" w:cs="Calibri" w:eastAsia="Calibri" w:hAnsi="Calibri"/>
          <w:sz w:val="24"/>
          <w:szCs w:val="24"/>
          <w:rtl w:val="0"/>
        </w:rPr>
        <w:t xml:space="preserve">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potential issue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it is just a concern, rather than wait for concrete proof.</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10"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something is troubling a worker/employee, which they think the Centre should know about or </w:t>
      </w:r>
      <w:r w:rsidDel="00000000" w:rsidR="00000000" w:rsidRPr="00000000">
        <w:rPr>
          <w:rFonts w:ascii="Calibri" w:cs="Calibri" w:eastAsia="Calibri" w:hAnsi="Calibri"/>
          <w:sz w:val="24"/>
          <w:szCs w:val="24"/>
          <w:rtl w:val="0"/>
        </w:rPr>
        <w:t xml:space="preserve">investigate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then they should use this policy. If, however, the worker/employee is aggrieved about their personal position, the Grievance Policy should be used. The Whistleblowing Procedure is primarily for concerns where the interests of others or of the organisation itself are at risk.</w:t>
      </w:r>
    </w:p>
    <w:p w:rsidR="00000000" w:rsidDel="00000000" w:rsidP="00000000" w:rsidRDefault="00000000" w:rsidRPr="00000000" w14:paraId="00000034">
      <w:pPr>
        <w:pStyle w:val="Heading1"/>
        <w:pageBreakBefore w:val="0"/>
        <w:numPr>
          <w:ilvl w:val="0"/>
          <w:numId w:val="2"/>
        </w:numPr>
        <w:tabs>
          <w:tab w:val="left" w:leader="none" w:pos="942"/>
        </w:tabs>
        <w:spacing w:before="287" w:lineRule="auto"/>
        <w:ind w:left="941" w:hanging="721"/>
        <w:jc w:val="both"/>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Aims</w:t>
      </w:r>
    </w:p>
    <w:p w:rsidR="00000000" w:rsidDel="00000000" w:rsidP="00000000" w:rsidRDefault="00000000" w:rsidRPr="00000000" w14:paraId="0000003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42"/>
        </w:tabs>
        <w:spacing w:after="0" w:before="255" w:line="240" w:lineRule="auto"/>
        <w:ind w:left="941"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Whistleblowing Policy and Procedure aims to:</w:t>
      </w:r>
    </w:p>
    <w:p w:rsidR="00000000" w:rsidDel="00000000" w:rsidP="00000000" w:rsidRDefault="00000000" w:rsidRPr="00000000" w14:paraId="0000003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10"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workers/employees in the Centre to feel confident in raising serious concerns and to question and act upon their concerns;</w:t>
      </w:r>
    </w:p>
    <w:p w:rsidR="00000000" w:rsidDel="00000000" w:rsidP="00000000" w:rsidRDefault="00000000" w:rsidRPr="00000000" w14:paraId="0000003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80"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a fair and impartial </w:t>
      </w:r>
      <w:r w:rsidDel="00000000" w:rsidR="00000000" w:rsidRPr="00000000">
        <w:rPr>
          <w:rFonts w:ascii="Calibri" w:cs="Calibri" w:eastAsia="Calibri" w:hAnsi="Calibri"/>
          <w:sz w:val="24"/>
          <w:szCs w:val="24"/>
          <w:rtl w:val="0"/>
        </w:rPr>
        <w:t xml:space="preserve">investigative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procedure;</w:t>
      </w:r>
    </w:p>
    <w:p w:rsidR="00000000" w:rsidDel="00000000" w:rsidP="00000000" w:rsidRDefault="00000000" w:rsidRPr="00000000" w14:paraId="0000003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12"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ways for employees in the Centre to raise those concerns and get feedback on any action taken as a result;</w:t>
      </w:r>
    </w:p>
    <w:p w:rsidR="00000000" w:rsidDel="00000000" w:rsidP="00000000" w:rsidRDefault="00000000" w:rsidRPr="00000000" w14:paraId="0000003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4"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workers/employees in or working in the Centre get a response to their concerns;</w:t>
      </w:r>
    </w:p>
    <w:p w:rsidR="00000000" w:rsidDel="00000000" w:rsidP="00000000" w:rsidRDefault="00000000" w:rsidRPr="00000000" w14:paraId="0000003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07"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workers/employees working in the Centre are aware how to pursue their concerns and the appropriate steps to take if they are not satisfied with any action;</w:t>
      </w:r>
    </w:p>
    <w:p w:rsidR="00000000" w:rsidDel="00000000" w:rsidP="00000000" w:rsidRDefault="00000000" w:rsidRPr="00000000" w14:paraId="0000003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03"/>
        </w:tabs>
        <w:spacing w:after="0" w:before="123" w:line="201" w:lineRule="auto"/>
        <w:ind w:left="1302" w:right="109"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Reassure workers/employees in the Centre that if they raise any concerns in good faith and reasonably believe them to be true, they will be protected from possible reprisals or victimisation. These assurances are set out in Section 4 below.</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17"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not intended to be used where other more appropriate procedures are available, for example:</w:t>
      </w:r>
    </w:p>
    <w:p w:rsidR="00000000" w:rsidDel="00000000" w:rsidP="00000000" w:rsidRDefault="00000000" w:rsidRPr="00000000" w14:paraId="0000003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0"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Grievances (see Grievance Procedure)</w:t>
      </w:r>
    </w:p>
    <w:p w:rsidR="00000000" w:rsidDel="00000000" w:rsidP="00000000" w:rsidRDefault="00000000" w:rsidRPr="00000000" w14:paraId="0000003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Harassment or Discrimination (see Grievance Procedure)</w:t>
      </w:r>
    </w:p>
    <w:p w:rsidR="00000000" w:rsidDel="00000000" w:rsidP="00000000" w:rsidRDefault="00000000" w:rsidRPr="00000000" w14:paraId="000000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 Safeguarding (see Child Safeguarding Policy)</w:t>
      </w:r>
    </w:p>
    <w:p w:rsidR="00000000" w:rsidDel="00000000" w:rsidP="00000000" w:rsidRDefault="00000000" w:rsidRPr="00000000" w14:paraId="0000004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Complaints (see Complaints Procedure)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01" w:lineRule="auto"/>
        <w:ind w:left="941" w:right="108"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14" w:type="default"/>
          <w:type w:val="nextPage"/>
          <w:pgSz w:h="16860" w:w="11920" w:orient="portrait"/>
          <w:pgMar w:bottom="1380" w:top="13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is unsure of which procedure to use, advice can be sought from HR or the employee’s trade union representative.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7">
      <w:pPr>
        <w:pStyle w:val="Heading1"/>
        <w:pageBreakBefore w:val="0"/>
        <w:numPr>
          <w:ilvl w:val="0"/>
          <w:numId w:val="2"/>
        </w:numPr>
        <w:tabs>
          <w:tab w:val="left" w:leader="none" w:pos="941"/>
          <w:tab w:val="left" w:leader="none" w:pos="942"/>
        </w:tabs>
        <w:spacing w:before="126"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Scope of the Policy and Procedure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04"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and procedure may be used by all worker</w:t>
      </w:r>
      <w:r w:rsidDel="00000000" w:rsidR="00000000" w:rsidRPr="00000000">
        <w:rPr>
          <w:rFonts w:ascii="Calibri" w:cs="Calibri" w:eastAsia="Calibri" w:hAnsi="Calibri"/>
          <w:sz w:val="24"/>
          <w:szCs w:val="24"/>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/employees of the Centre. The term workers/employees broadly includes employees, contractors, agency workers/employees, trainees, volunteers and a person who is or was subject to a contract to undertake work or services for the Centre. This includes permanent and temporary employees, and employees seconded to a third party. Any concerns relating to the third party, if relevant to the employee’s secondment, can also be raised under this procedure.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Centre Council Governors may also use this policy to raise concerns.</w:t>
      </w:r>
    </w:p>
    <w:p w:rsidR="00000000" w:rsidDel="00000000" w:rsidP="00000000" w:rsidRDefault="00000000" w:rsidRPr="00000000" w14:paraId="0000004C">
      <w:pPr>
        <w:pStyle w:val="Heading1"/>
        <w:pageBreakBefore w:val="0"/>
        <w:numPr>
          <w:ilvl w:val="0"/>
          <w:numId w:val="2"/>
        </w:numPr>
        <w:tabs>
          <w:tab w:val="left" w:leader="none" w:pos="941"/>
          <w:tab w:val="left" w:leader="none" w:pos="942"/>
        </w:tabs>
        <w:spacing w:before="284"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Assurances to Workers/Employees</w:t>
      </w:r>
    </w:p>
    <w:p w:rsidR="00000000" w:rsidDel="00000000" w:rsidP="00000000" w:rsidRDefault="00000000" w:rsidRPr="00000000" w14:paraId="0000004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56" w:line="240" w:lineRule="auto"/>
        <w:ind w:left="941" w:right="0"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worker/employees have the right to disclose a concern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bfbfbf"/>
          <w:sz w:val="24"/>
          <w:szCs w:val="24"/>
          <w:u w:val="none"/>
          <w:shd w:fill="auto" w:val="clear"/>
          <w:vertAlign w:val="baseline"/>
          <w:rtl w:val="0"/>
        </w:rPr>
        <w:t xml:space="preserve">4.1.1</w:t>
      </w:r>
      <w:r w:rsidDel="00000000" w:rsidR="00000000" w:rsidRPr="00000000">
        <w:rPr>
          <w:rFonts w:ascii="Calibri" w:cs="Calibri" w:eastAsia="Calibri" w:hAnsi="Calibri"/>
          <w:b w:val="0"/>
          <w:i w:val="0"/>
          <w:smallCaps w:val="0"/>
          <w:strike w:val="0"/>
          <w:color w:val="bfbfb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Workers/employees have the right to disclose a concern/issue if the Centre  does not deal with a matter they have raised. However, the duty of fidelity is implied by the law in every contract of employment and prohibits workers/employees from disclosing employers’ confidential information, unless it is the public interest that information is disclosed or unless the Centre fails to properly consider or deal with the issue.</w:t>
      </w:r>
    </w:p>
    <w:p w:rsidR="00000000" w:rsidDel="00000000" w:rsidP="00000000" w:rsidRDefault="00000000" w:rsidRPr="00000000" w14:paraId="0000004F">
      <w:pPr>
        <w:pStyle w:val="Heading1"/>
        <w:pageBreakBefore w:val="0"/>
        <w:numPr>
          <w:ilvl w:val="1"/>
          <w:numId w:val="2"/>
        </w:numPr>
        <w:tabs>
          <w:tab w:val="left" w:leader="none" w:pos="941"/>
          <w:tab w:val="left" w:leader="none" w:pos="942"/>
        </w:tabs>
        <w:spacing w:before="249" w:lineRule="auto"/>
        <w:ind w:left="941" w:hanging="721"/>
        <w:rPr>
          <w:rFonts w:ascii="Calibri" w:cs="Calibri" w:eastAsia="Calibri" w:hAnsi="Calibri"/>
          <w:b w:val="0"/>
        </w:rPr>
      </w:pPr>
      <w:r w:rsidDel="00000000" w:rsidR="00000000" w:rsidRPr="00000000">
        <w:rPr>
          <w:rFonts w:ascii="Calibri" w:cs="Calibri" w:eastAsia="Calibri" w:hAnsi="Calibri"/>
          <w:b w:val="0"/>
          <w:rtl w:val="0"/>
        </w:rPr>
        <w:t xml:space="preserve">To protect and safeguard workers/employees</w:t>
      </w:r>
    </w:p>
    <w:p w:rsidR="00000000" w:rsidDel="00000000" w:rsidP="00000000" w:rsidRDefault="00000000" w:rsidRPr="00000000" w14:paraId="00000050">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942"/>
        </w:tabs>
        <w:spacing w:after="0" w:before="274"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makes a disclosure, either internally or externally, on one or more of the matters listed in this policy and they have a reasonable belief that the concern is real and they are acting in good faith, the worker/employee will not suffer any detriment, even if after investigation it transpires that the concern is unfounded. The Centre will not tolerate any harassment or victimisation (including informal pressures) and will take appropriate action to protect workers/employees who raise a concern in good faith.</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942"/>
        </w:tabs>
        <w:spacing w:after="0" w:before="130" w:line="201" w:lineRule="auto"/>
        <w:ind w:left="941" w:right="112" w:hanging="72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requests that their identity is protected, the Centre will not disclose it unless required to do so in law. If the situation arises where the Centre is unable to resolve the concern without revealing the worker/employees’ identity (for instance because the worker/employee’s evidence is needed in court), the Centre will discuss with the worker/employee how the matter should proceed. However, it must be stated that if a worker/employee chooses not to disclose their identity it will be much more difficult for us to look into the matter or to protect your position or to give the worker/employee feedback. Accordingly, while we consider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anonymous reports, it will not be possible to apply all aspects of this policy for concerns raised anonymously.</w:t>
      </w:r>
    </w:p>
    <w:p w:rsidR="00000000" w:rsidDel="00000000" w:rsidP="00000000" w:rsidRDefault="00000000" w:rsidRPr="00000000" w14:paraId="0000005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942"/>
        </w:tabs>
        <w:spacing w:after="0" w:before="287"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action will be taken against anyone who makes an allegation in good faith, reasonably believing it to be true, even if the allegation is not subsequently confirmed by the investigation.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01" w:lineRule="auto"/>
        <w:ind w:left="941" w:right="1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this policy does not provide protection to workers/employees who disclose information to the media or the press under the guise of ‘Whistleblowing’. It is important that if the worker/employee has a genuine concern, you follow the stages of this policy to ensure its resolution.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investigation into allegations of potential malpractice will not influence or be influenced by any disciplinary or redundancy procedures already taking place concerning the employee/worker.</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5" w:hanging="721"/>
        <w:jc w:val="both"/>
        <w:rPr>
          <w:rFonts w:ascii="Calibri" w:cs="Calibri" w:eastAsia="Calibri" w:hAnsi="Calibri"/>
          <w:b w:val="0"/>
          <w:i w:val="0"/>
          <w:smallCaps w:val="0"/>
          <w:strike w:val="0"/>
          <w:color w:val="000000"/>
          <w:sz w:val="24"/>
          <w:szCs w:val="24"/>
          <w:u w:val="none"/>
          <w:shd w:fill="auto" w:val="clear"/>
          <w:vertAlign w:val="baseline"/>
        </w:rPr>
        <w:sectPr>
          <w:headerReference r:id="rId15" w:type="default"/>
          <w:footerReference r:id="rId16" w:type="default"/>
          <w:type w:val="nextPage"/>
          <w:pgSz w:h="16860" w:w="11920" w:orient="portrait"/>
          <w:pgMar w:bottom="1380" w:top="980" w:left="1220" w:right="1340" w:header="690" w:footer="1192"/>
          <w:pgNumType w:start="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will be provided to the worker/employee in order to minimise any difficulties, which the worker/employee may experience. This may include advice on giving evidence if needed. Meetings may, if necessary, be arranged off-site with the worker/employee and the worker/employee has the right to be represented, if the worker/employee so wishes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1"/>
        <w:pageBreakBefore w:val="0"/>
        <w:spacing w:before="127" w:lineRule="auto"/>
        <w:ind w:left="221" w:firstLine="0"/>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Whistleblowing Procedure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40" w:lineRule="auto"/>
        <w:ind w:left="941" w:right="0" w:hanging="721"/>
        <w:jc w:val="left"/>
        <w:rPr>
          <w:rFonts w:ascii="Calibri" w:cs="Calibri" w:eastAsia="Calibri" w:hAnsi="Calibri"/>
          <w:b w:val="0"/>
          <w:i w:val="0"/>
          <w:smallCaps w:val="0"/>
          <w:strike w:val="0"/>
          <w:color w:val="ffc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c000"/>
          <w:sz w:val="24"/>
          <w:szCs w:val="24"/>
          <w:u w:val="none"/>
          <w:shd w:fill="auto" w:val="clear"/>
          <w:vertAlign w:val="baseline"/>
          <w:rtl w:val="0"/>
        </w:rPr>
        <w:t xml:space="preserve">How to Raise Concerns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8"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worker/employee is unsure whether to use this Whistleblowing Procedure or the worker/employee wants independent advice at any stage, the worker/employee is advised to contact:</w:t>
      </w:r>
    </w:p>
    <w:p w:rsidR="00000000" w:rsidDel="00000000" w:rsidP="00000000" w:rsidRDefault="00000000" w:rsidRPr="00000000" w14:paraId="0000006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63"/>
        </w:tabs>
        <w:spacing w:after="0" w:before="81"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applicable the workers/employees relevant trade union; or</w:t>
      </w:r>
    </w:p>
    <w:p w:rsidR="00000000" w:rsidDel="00000000" w:rsidP="00000000" w:rsidRDefault="00000000" w:rsidRPr="00000000" w14:paraId="0000006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63"/>
        </w:tabs>
        <w:spacing w:after="0" w:before="109" w:line="201" w:lineRule="auto"/>
        <w:ind w:left="1362" w:right="113"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independent charity Protect (formerly Public Concern at Work) on 020 3117 2520. Their lawyers can give the worker/employee confidential advice at any stage about how to raise a concern about serious malpractice at work.</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12"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soon as the worker/employee becomes reasonably concerned the worker/employee should firstly raise the issue either orally or in writing with the workers/employees’ line manager or CEO (unless s/he is the potential transgressor, in which case write to one of the following individuals:</w:t>
      </w:r>
    </w:p>
    <w:p w:rsidR="00000000" w:rsidDel="00000000" w:rsidP="00000000" w:rsidRDefault="00000000" w:rsidRPr="00000000" w14:paraId="000000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82"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Chief Executive</w:t>
      </w:r>
    </w:p>
    <w:p w:rsidR="00000000" w:rsidDel="00000000" w:rsidP="00000000" w:rsidRDefault="00000000" w:rsidRPr="00000000" w14:paraId="000000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7"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HR Manager</w:t>
      </w:r>
    </w:p>
    <w:p w:rsidR="00000000" w:rsidDel="00000000" w:rsidP="00000000" w:rsidRDefault="00000000" w:rsidRPr="00000000" w14:paraId="0000006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6"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Manager </w:t>
      </w:r>
    </w:p>
    <w:p w:rsidR="00000000" w:rsidDel="00000000" w:rsidP="00000000" w:rsidRDefault="00000000" w:rsidRPr="00000000" w14:paraId="0000006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7"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Line Manager</w:t>
      </w:r>
    </w:p>
    <w:p w:rsidR="00000000" w:rsidDel="00000000" w:rsidP="00000000" w:rsidRDefault="00000000" w:rsidRPr="00000000" w14:paraId="00000069">
      <w:pPr>
        <w:pStyle w:val="Heading1"/>
        <w:pageBreakBefore w:val="0"/>
        <w:numPr>
          <w:ilvl w:val="0"/>
          <w:numId w:val="8"/>
        </w:numPr>
        <w:tabs>
          <w:tab w:val="left" w:leader="none" w:pos="941"/>
          <w:tab w:val="left" w:leader="none" w:pos="942"/>
        </w:tabs>
        <w:spacing w:before="283"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How the Centre Will Respond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5"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the worker/employee has informed the Centre (Chief Executive Officer) of their concern, an investigating officer (someone who has no previous involvement) will be appointed who will look into it to assess initially what action should be taken. They will aim to interview the worker/employee within 10 working days, in confidence, or earlier if there is an immediate danger to loss of life or serious injury or illegal activity that need immediate Police involvement and will:</w:t>
      </w:r>
    </w:p>
    <w:p w:rsidR="00000000" w:rsidDel="00000000" w:rsidP="00000000" w:rsidRDefault="00000000" w:rsidRPr="00000000" w14:paraId="0000006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3"/>
        </w:tabs>
        <w:spacing w:after="0" w:before="126" w:line="201" w:lineRule="auto"/>
        <w:ind w:left="1362" w:right="117"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Obtain as much information as possible from the worker/employee about the grounds for the belief of malpractice;</w:t>
      </w:r>
    </w:p>
    <w:p w:rsidR="00000000" w:rsidDel="00000000" w:rsidP="00000000" w:rsidRDefault="00000000" w:rsidRPr="00000000" w14:paraId="0000006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3"/>
        </w:tabs>
        <w:spacing w:after="0" w:before="79"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 with the worker/employee about further steps which could be taken;</w:t>
      </w:r>
    </w:p>
    <w:p w:rsidR="00000000" w:rsidDel="00000000" w:rsidP="00000000" w:rsidRDefault="00000000" w:rsidRPr="00000000" w14:paraId="0000006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3"/>
        </w:tabs>
        <w:spacing w:after="0" w:before="109" w:line="201" w:lineRule="auto"/>
        <w:ind w:left="1362" w:right="109"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the employer of appropriate routes if the matter does not fall within the Whistleblowing Procedure;</w:t>
      </w:r>
    </w:p>
    <w:p w:rsidR="00000000" w:rsidDel="00000000" w:rsidP="00000000" w:rsidRDefault="00000000" w:rsidRPr="00000000" w14:paraId="000000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63"/>
        </w:tabs>
        <w:spacing w:after="0" w:before="80"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sectPr>
          <w:footerReference r:id="rId17" w:type="default"/>
          <w:type w:val="nextPage"/>
          <w:pgSz w:h="16860" w:w="11920" w:orient="portrait"/>
          <w:pgMar w:bottom="1380" w:top="9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all matters under this procedure to the HR Department or CEO</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42"/>
        </w:tabs>
        <w:spacing w:after="0" w:before="13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this meeting the worker/employee may be accompanied by a trade union representative or a work colleague. There will also be a note taker present at the meeting.</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14"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10 working days of the above meeting the investigating officer will recommend to the Chief Executive Officer one or more of the following:</w:t>
      </w:r>
    </w:p>
    <w:p w:rsidR="00000000" w:rsidDel="00000000" w:rsidP="00000000" w:rsidRDefault="00000000" w:rsidRPr="00000000" w14:paraId="000000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80"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investigated within the Centre’s internal procedures;</w:t>
      </w:r>
    </w:p>
    <w:p w:rsidR="00000000" w:rsidDel="00000000" w:rsidP="00000000" w:rsidRDefault="00000000" w:rsidRPr="00000000" w14:paraId="000000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109" w:line="201" w:lineRule="auto"/>
        <w:ind w:left="1362" w:right="113" w:hanging="43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investigated by the external auditors appointed by the Centre;</w:t>
      </w:r>
    </w:p>
    <w:p w:rsidR="00000000" w:rsidDel="00000000" w:rsidP="00000000" w:rsidRDefault="00000000" w:rsidRPr="00000000" w14:paraId="000000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80"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an external agency e.g. DfE, EFA, exam board;</w:t>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the Police;</w:t>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the Local Authority Designated Officer;</w:t>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6"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further action is required.</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92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please note that this list is not exhaustive.</w:t>
      </w:r>
    </w:p>
    <w:p w:rsidR="00000000" w:rsidDel="00000000" w:rsidP="00000000" w:rsidRDefault="00000000" w:rsidRPr="00000000" w14:paraId="0000007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42"/>
        </w:tabs>
        <w:spacing w:after="0" w:before="232" w:line="240" w:lineRule="auto"/>
        <w:ind w:left="941"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grounds on which no further action is taken may include:</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10" w:line="201" w:lineRule="auto"/>
        <w:ind w:left="1362" w:right="106"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investigator is satisfied that, on the balance of probabilities, there is no evidence that malpractice has occurred, is occurring or is likely to occur;</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79"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investigator is satisfied that the concern has not been raised in good faith;</w:t>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10" w:line="201" w:lineRule="auto"/>
        <w:ind w:left="1362" w:right="111"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is already (or has been) the subject of proceedings under one of the Centre’s other procedures or policies;</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22" w:line="201" w:lineRule="auto"/>
        <w:ind w:left="1362" w:right="108"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concerned is already the subject of legal proceedings, or has already been referred to the Police, the external auditors, the DfE or other public authority.</w:t>
      </w:r>
    </w:p>
    <w:p w:rsidR="00000000" w:rsidDel="00000000" w:rsidP="00000000" w:rsidRDefault="00000000" w:rsidRPr="00000000" w14:paraId="0000008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88" w:line="201" w:lineRule="auto"/>
        <w:ind w:left="926" w:right="115" w:hanging="7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Usually, within 10 working days of a concern being raised, the person investigating will write to the person raising the concern:</w:t>
      </w:r>
    </w:p>
    <w:p w:rsidR="00000000" w:rsidDel="00000000" w:rsidP="00000000" w:rsidRDefault="00000000" w:rsidRPr="00000000" w14:paraId="0000008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122" w:line="201" w:lineRule="auto"/>
        <w:ind w:left="1362" w:right="108" w:hanging="43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Confirming that the concern has been investigated (or a timescale for this if complex);</w:t>
      </w:r>
    </w:p>
    <w:p w:rsidR="00000000" w:rsidDel="00000000" w:rsidP="00000000" w:rsidRDefault="00000000" w:rsidRPr="00000000" w14:paraId="0000008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79"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Confirming (where appropriate) what action the Centre intends to take;</w:t>
      </w:r>
    </w:p>
    <w:p w:rsidR="00000000" w:rsidDel="00000000" w:rsidP="00000000" w:rsidRDefault="00000000" w:rsidRPr="00000000" w14:paraId="0000008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Supplying information on support available to you.</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01" w:lineRule="auto"/>
        <w:ind w:left="926"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18" w:type="default"/>
          <w:type w:val="nextPage"/>
          <w:pgSz w:h="16860" w:w="11920" w:orient="portrait"/>
          <w:pgMar w:bottom="1380" w:top="9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Subject to any legal constraints, the relevant employee will normally be informed of the final outcome of any investigation.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A">
      <w:pPr>
        <w:pStyle w:val="Heading1"/>
        <w:pageBreakBefore w:val="0"/>
        <w:numPr>
          <w:ilvl w:val="0"/>
          <w:numId w:val="8"/>
        </w:numPr>
        <w:tabs>
          <w:tab w:val="left" w:leader="none" w:pos="941"/>
          <w:tab w:val="left" w:leader="none" w:pos="942"/>
        </w:tabs>
        <w:spacing w:before="127"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How Concerns Can Be Taken Further</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Worker/employees of the Centre who are not satisfied, at any stage of the process, with the action taken by the Centre and feel that it is right to question the matter further, may consider the following possible contact points:</w:t>
      </w:r>
    </w:p>
    <w:p w:rsidR="00000000" w:rsidDel="00000000" w:rsidP="00000000" w:rsidRDefault="00000000" w:rsidRPr="00000000" w14:paraId="0000008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1"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employee’s Trade Union;</w:t>
      </w:r>
    </w:p>
    <w:p w:rsidR="00000000" w:rsidDel="00000000" w:rsidP="00000000" w:rsidRDefault="00000000" w:rsidRPr="00000000" w14:paraId="0000008E">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Citizens Advice Bureau and/or law centre/firm;</w:t>
      </w:r>
    </w:p>
    <w:p w:rsidR="00000000" w:rsidDel="00000000" w:rsidP="00000000" w:rsidRDefault="00000000" w:rsidRPr="00000000" w14:paraId="0000008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 w:val="left" w:leader="none" w:pos="8147"/>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Relevant professional bodies or regulatory organisations (e.g. </w:t>
      </w:r>
      <w:r w:rsidDel="00000000" w:rsidR="00000000" w:rsidRPr="00000000">
        <w:rPr>
          <w:rFonts w:ascii="Calibri" w:cs="Calibri" w:eastAsia="Calibri" w:hAnsi="Calibri"/>
          <w:sz w:val="24"/>
          <w:szCs w:val="24"/>
          <w:rtl w:val="0"/>
        </w:rPr>
        <w:t xml:space="preserve">exam boards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6"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Information Commissioner;</w:t>
      </w:r>
    </w:p>
    <w:p w:rsidR="00000000" w:rsidDel="00000000" w:rsidP="00000000" w:rsidRDefault="00000000" w:rsidRPr="00000000" w14:paraId="0000009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relevant voluntary organisation;</w:t>
      </w:r>
    </w:p>
    <w:p w:rsidR="00000000" w:rsidDel="00000000" w:rsidP="00000000" w:rsidRDefault="00000000" w:rsidRPr="00000000" w14:paraId="0000009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Police;</w:t>
      </w:r>
    </w:p>
    <w:p w:rsidR="00000000" w:rsidDel="00000000" w:rsidP="00000000" w:rsidRDefault="00000000" w:rsidRPr="00000000" w14:paraId="0000009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Health and Safety Executive;</w:t>
      </w:r>
    </w:p>
    <w:p w:rsidR="00000000" w:rsidDel="00000000" w:rsidP="00000000" w:rsidRDefault="00000000" w:rsidRPr="00000000" w14:paraId="0000009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 w:val="left" w:leader="none" w:pos="8147"/>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Local Authority Designated Officer or Safeguarding Children’s Board;</w:t>
      </w:r>
    </w:p>
    <w:p w:rsidR="00000000" w:rsidDel="00000000" w:rsidP="00000000" w:rsidRDefault="00000000" w:rsidRPr="00000000" w14:paraId="0000009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Ofsted;</w:t>
      </w:r>
    </w:p>
    <w:p w:rsidR="00000000" w:rsidDel="00000000" w:rsidP="00000000" w:rsidRDefault="00000000" w:rsidRPr="00000000" w14:paraId="0000009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 Funding Agency;</w:t>
      </w:r>
    </w:p>
    <w:p w:rsidR="00000000" w:rsidDel="00000000" w:rsidP="00000000" w:rsidRDefault="00000000" w:rsidRPr="00000000" w14:paraId="0000009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Department for Education;</w:t>
      </w:r>
    </w:p>
    <w:p w:rsidR="00000000" w:rsidDel="00000000" w:rsidP="00000000" w:rsidRDefault="00000000" w:rsidRPr="00000000" w14:paraId="0000009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405" w:lineRule="auto"/>
        <w:ind w:left="221" w:right="3424" w:firstLine="7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Majesty’s Revenues and Customs(HMRC). Please note that this is not an exhaustive list.</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0B5">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0B6">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B7">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0B8">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-752473</wp:posOffset>
            </wp:positionH>
            <wp:positionV relativeFrom="paragraph">
              <wp:posOffset>609600</wp:posOffset>
            </wp:positionV>
            <wp:extent cx="7523148" cy="6018663"/>
            <wp:effectExtent b="0" l="0" r="0" t="0"/>
            <wp:wrapNone/>
            <wp:docPr descr="A picture containing indoor, small&#10;&#10;Description automatically generated" id="29" name="image3.jpg"/>
            <a:graphic>
              <a:graphicData uri="http://schemas.openxmlformats.org/drawingml/2006/picture">
                <pic:pic>
                  <pic:nvPicPr>
                    <pic:cNvPr descr="A picture containing indoor, small&#10;&#10;Description automatically generated" id="0" name="image3.jpg"/>
                    <pic:cNvPicPr preferRelativeResize="0"/>
                  </pic:nvPicPr>
                  <pic:blipFill>
                    <a:blip r:embed="rId19"/>
                    <a:srcRect b="0" l="0" r="0" t="0"/>
                    <a:stretch>
                      <a:fillRect/>
                    </a:stretch>
                  </pic:blipFill>
                  <pic:spPr>
                    <a:xfrm>
                      <a:off x="0" y="0"/>
                      <a:ext cx="7523148" cy="6018663"/>
                    </a:xfrm>
                    <a:prstGeom prst="rect"/>
                    <a:ln/>
                  </pic:spPr>
                </pic:pic>
              </a:graphicData>
            </a:graphic>
          </wp:anchor>
        </w:drawing>
      </w:r>
    </w:p>
    <w:sectPr>
      <w:footerReference r:id="rId20" w:type="default"/>
      <w:type w:val="nextPage"/>
      <w:pgSz w:h="16860" w:w="11920" w:orient="portrait"/>
      <w:pgMar w:bottom="1380" w:top="980" w:left="1220" w:right="1340" w:header="690" w:footer="11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Black">
    <w:embedRegular w:fontKey="{00000000-0000-0000-0000-000000000000}" r:id="rId1"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2</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3</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4</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6</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7</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8</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9</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-381632</wp:posOffset>
          </wp:positionV>
          <wp:extent cx="1892606" cy="773462"/>
          <wp:effectExtent b="0" l="0" r="0" t="0"/>
          <wp:wrapNone/>
          <wp:docPr descr="A close up of a logo&#10;&#10;Description automatically generated" id="26"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4791075</wp:posOffset>
          </wp:positionH>
          <wp:positionV relativeFrom="paragraph">
            <wp:posOffset>-334007</wp:posOffset>
          </wp:positionV>
          <wp:extent cx="1892606" cy="773462"/>
          <wp:effectExtent b="0" l="0" r="0" t="0"/>
          <wp:wrapNone/>
          <wp:docPr descr="A close up of a logo&#10;&#10;Description automatically generated" id="25"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4800600</wp:posOffset>
          </wp:positionH>
          <wp:positionV relativeFrom="paragraph">
            <wp:posOffset>-305432</wp:posOffset>
          </wp:positionV>
          <wp:extent cx="1892606" cy="773462"/>
          <wp:effectExtent b="0" l="0" r="0" t="0"/>
          <wp:wrapNone/>
          <wp:docPr descr="A close up of a logo&#10;&#10;Description automatically generated" id="27"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2">
    <w:lvl w:ilvl="0">
      <w:start w:val="1"/>
      <w:numFmt w:val="decimal"/>
      <w:lvlText w:val="%1."/>
      <w:lvlJc w:val="left"/>
      <w:pPr>
        <w:ind w:left="941" w:hanging="721"/>
      </w:pPr>
      <w:rPr>
        <w:rFonts w:ascii="Arial" w:cs="Arial" w:eastAsia="Arial" w:hAnsi="Arial"/>
        <w:b w:val="1"/>
        <w:color w:val="ffc000"/>
        <w:sz w:val="24"/>
        <w:szCs w:val="24"/>
      </w:rPr>
    </w:lvl>
    <w:lvl w:ilvl="1">
      <w:start w:val="1"/>
      <w:numFmt w:val="decimal"/>
      <w:lvlText w:val="%1.%2"/>
      <w:lvlJc w:val="left"/>
      <w:pPr>
        <w:ind w:left="941" w:hanging="721"/>
      </w:pPr>
      <w:rPr>
        <w:rFonts w:ascii="Arial Black" w:cs="Arial Black" w:eastAsia="Arial Black" w:hAnsi="Arial Black"/>
        <w:color w:val="808080"/>
        <w:sz w:val="24"/>
        <w:szCs w:val="24"/>
      </w:rPr>
    </w:lvl>
    <w:lvl w:ilvl="2">
      <w:start w:val="1"/>
      <w:numFmt w:val="bullet"/>
      <w:lvlText w:val="•"/>
      <w:lvlJc w:val="left"/>
      <w:pPr>
        <w:ind w:left="1302" w:hanging="361"/>
      </w:pPr>
      <w:rPr>
        <w:rFonts w:ascii="Arial Black" w:cs="Arial Black" w:eastAsia="Arial Black" w:hAnsi="Arial Black"/>
        <w:sz w:val="24"/>
        <w:szCs w:val="24"/>
      </w:rPr>
    </w:lvl>
    <w:lvl w:ilvl="3">
      <w:start w:val="1"/>
      <w:numFmt w:val="bullet"/>
      <w:lvlText w:val="•"/>
      <w:lvlJc w:val="left"/>
      <w:pPr>
        <w:ind w:left="2307" w:hanging="361"/>
      </w:pPr>
      <w:rPr/>
    </w:lvl>
    <w:lvl w:ilvl="4">
      <w:start w:val="1"/>
      <w:numFmt w:val="bullet"/>
      <w:lvlText w:val="•"/>
      <w:lvlJc w:val="left"/>
      <w:pPr>
        <w:ind w:left="3315" w:hanging="361"/>
      </w:pPr>
      <w:rPr/>
    </w:lvl>
    <w:lvl w:ilvl="5">
      <w:start w:val="1"/>
      <w:numFmt w:val="bullet"/>
      <w:lvlText w:val="•"/>
      <w:lvlJc w:val="left"/>
      <w:pPr>
        <w:ind w:left="4322" w:hanging="361.00000000000045"/>
      </w:pPr>
      <w:rPr/>
    </w:lvl>
    <w:lvl w:ilvl="6">
      <w:start w:val="1"/>
      <w:numFmt w:val="bullet"/>
      <w:lvlText w:val="•"/>
      <w:lvlJc w:val="left"/>
      <w:pPr>
        <w:ind w:left="5330" w:hanging="361"/>
      </w:pPr>
      <w:rPr/>
    </w:lvl>
    <w:lvl w:ilvl="7">
      <w:start w:val="1"/>
      <w:numFmt w:val="bullet"/>
      <w:lvlText w:val="•"/>
      <w:lvlJc w:val="left"/>
      <w:pPr>
        <w:ind w:left="6337" w:hanging="361"/>
      </w:pPr>
      <w:rPr/>
    </w:lvl>
    <w:lvl w:ilvl="8">
      <w:start w:val="1"/>
      <w:numFmt w:val="bullet"/>
      <w:lvlText w:val="•"/>
      <w:lvlJc w:val="left"/>
      <w:pPr>
        <w:ind w:left="7345" w:hanging="361"/>
      </w:pPr>
      <w:rPr/>
    </w:lvl>
  </w:abstractNum>
  <w:abstractNum w:abstractNumId="3">
    <w:lvl w:ilvl="0">
      <w:start w:val="1"/>
      <w:numFmt w:val="decimal"/>
      <w:lvlText w:val="%1."/>
      <w:lvlJc w:val="left"/>
      <w:pPr>
        <w:ind w:left="726" w:hanging="267.00000000000017"/>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82"/>
      </w:pPr>
      <w:rPr/>
    </w:lvl>
  </w:abstractNum>
  <w:abstractNum w:abstractNumId="4">
    <w:lvl w:ilvl="0">
      <w:start w:val="1"/>
      <w:numFmt w:val="decimal"/>
      <w:lvlText w:val="%1."/>
      <w:lvlJc w:val="left"/>
      <w:pPr>
        <w:ind w:left="726" w:hanging="267.00000000000017"/>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82"/>
      </w:pPr>
      <w:rPr/>
    </w:lvl>
  </w:abstractNum>
  <w:abstractNum w:abstractNumId="5">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6">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7">
    <w:lvl w:ilvl="0">
      <w:start w:val="1"/>
      <w:numFmt w:val="bullet"/>
      <w:lvlText w:val="●"/>
      <w:lvlJc w:val="left"/>
      <w:pPr>
        <w:ind w:left="1647" w:hanging="361"/>
      </w:pPr>
      <w:rPr>
        <w:rFonts w:ascii="Arial" w:cs="Arial" w:eastAsia="Arial" w:hAnsi="Arial"/>
        <w:sz w:val="24"/>
        <w:szCs w:val="24"/>
      </w:rPr>
    </w:lvl>
    <w:lvl w:ilvl="1">
      <w:start w:val="1"/>
      <w:numFmt w:val="bullet"/>
      <w:lvlText w:val="•"/>
      <w:lvlJc w:val="left"/>
      <w:pPr>
        <w:ind w:left="2412" w:hanging="361"/>
      </w:pPr>
      <w:rPr/>
    </w:lvl>
    <w:lvl w:ilvl="2">
      <w:start w:val="1"/>
      <w:numFmt w:val="bullet"/>
      <w:lvlText w:val="•"/>
      <w:lvlJc w:val="left"/>
      <w:pPr>
        <w:ind w:left="3184" w:hanging="361.00000000000045"/>
      </w:pPr>
      <w:rPr/>
    </w:lvl>
    <w:lvl w:ilvl="3">
      <w:start w:val="1"/>
      <w:numFmt w:val="bullet"/>
      <w:lvlText w:val="•"/>
      <w:lvlJc w:val="left"/>
      <w:pPr>
        <w:ind w:left="3956" w:hanging="361"/>
      </w:pPr>
      <w:rPr/>
    </w:lvl>
    <w:lvl w:ilvl="4">
      <w:start w:val="1"/>
      <w:numFmt w:val="bullet"/>
      <w:lvlText w:val="•"/>
      <w:lvlJc w:val="left"/>
      <w:pPr>
        <w:ind w:left="4728" w:hanging="361"/>
      </w:pPr>
      <w:rPr/>
    </w:lvl>
    <w:lvl w:ilvl="5">
      <w:start w:val="1"/>
      <w:numFmt w:val="bullet"/>
      <w:lvlText w:val="•"/>
      <w:lvlJc w:val="left"/>
      <w:pPr>
        <w:ind w:left="5500" w:hanging="361"/>
      </w:pPr>
      <w:rPr/>
    </w:lvl>
    <w:lvl w:ilvl="6">
      <w:start w:val="1"/>
      <w:numFmt w:val="bullet"/>
      <w:lvlText w:val="•"/>
      <w:lvlJc w:val="left"/>
      <w:pPr>
        <w:ind w:left="6272" w:hanging="361"/>
      </w:pPr>
      <w:rPr/>
    </w:lvl>
    <w:lvl w:ilvl="7">
      <w:start w:val="1"/>
      <w:numFmt w:val="bullet"/>
      <w:lvlText w:val="•"/>
      <w:lvlJc w:val="left"/>
      <w:pPr>
        <w:ind w:left="7044" w:hanging="361"/>
      </w:pPr>
      <w:rPr/>
    </w:lvl>
    <w:lvl w:ilvl="8">
      <w:start w:val="1"/>
      <w:numFmt w:val="bullet"/>
      <w:lvlText w:val="•"/>
      <w:lvlJc w:val="left"/>
      <w:pPr>
        <w:ind w:left="7816" w:hanging="361"/>
      </w:pPr>
      <w:rPr/>
    </w:lvl>
  </w:abstractNum>
  <w:abstractNum w:abstractNumId="8">
    <w:lvl w:ilvl="0">
      <w:start w:val="1"/>
      <w:numFmt w:val="decimal"/>
      <w:lvlText w:val="%1."/>
      <w:lvlJc w:val="left"/>
      <w:pPr>
        <w:ind w:left="941" w:hanging="721"/>
      </w:pPr>
      <w:rPr>
        <w:rFonts w:ascii="Arial" w:cs="Arial" w:eastAsia="Arial" w:hAnsi="Arial"/>
        <w:b w:val="1"/>
        <w:color w:val="ffc000"/>
        <w:sz w:val="24"/>
        <w:szCs w:val="24"/>
      </w:rPr>
    </w:lvl>
    <w:lvl w:ilvl="1">
      <w:start w:val="1"/>
      <w:numFmt w:val="decimal"/>
      <w:lvlText w:val="%1.%2"/>
      <w:lvlJc w:val="left"/>
      <w:pPr>
        <w:ind w:left="941" w:hanging="721"/>
      </w:pPr>
      <w:rPr>
        <w:rFonts w:ascii="Arial Black" w:cs="Arial Black" w:eastAsia="Arial Black" w:hAnsi="Arial Black"/>
        <w:color w:val="808080"/>
        <w:sz w:val="24"/>
        <w:szCs w:val="24"/>
      </w:rPr>
    </w:lvl>
    <w:lvl w:ilvl="2">
      <w:start w:val="1"/>
      <w:numFmt w:val="bullet"/>
      <w:lvlText w:val="•"/>
      <w:lvlJc w:val="left"/>
      <w:pPr>
        <w:ind w:left="1362" w:hanging="436"/>
      </w:pPr>
      <w:rPr>
        <w:rFonts w:ascii="Arial Black" w:cs="Arial Black" w:eastAsia="Arial Black" w:hAnsi="Arial Black"/>
        <w:sz w:val="24"/>
        <w:szCs w:val="24"/>
      </w:rPr>
    </w:lvl>
    <w:lvl w:ilvl="3">
      <w:start w:val="1"/>
      <w:numFmt w:val="bullet"/>
      <w:lvlText w:val="•"/>
      <w:lvlJc w:val="left"/>
      <w:pPr>
        <w:ind w:left="2360" w:hanging="436"/>
      </w:pPr>
      <w:rPr/>
    </w:lvl>
    <w:lvl w:ilvl="4">
      <w:start w:val="1"/>
      <w:numFmt w:val="bullet"/>
      <w:lvlText w:val="•"/>
      <w:lvlJc w:val="left"/>
      <w:pPr>
        <w:ind w:left="3360" w:hanging="436"/>
      </w:pPr>
      <w:rPr/>
    </w:lvl>
    <w:lvl w:ilvl="5">
      <w:start w:val="1"/>
      <w:numFmt w:val="bullet"/>
      <w:lvlText w:val="•"/>
      <w:lvlJc w:val="left"/>
      <w:pPr>
        <w:ind w:left="4360" w:hanging="436"/>
      </w:pPr>
      <w:rPr/>
    </w:lvl>
    <w:lvl w:ilvl="6">
      <w:start w:val="1"/>
      <w:numFmt w:val="bullet"/>
      <w:lvlText w:val="•"/>
      <w:lvlJc w:val="left"/>
      <w:pPr>
        <w:ind w:left="5360" w:hanging="436"/>
      </w:pPr>
      <w:rPr/>
    </w:lvl>
    <w:lvl w:ilvl="7">
      <w:start w:val="1"/>
      <w:numFmt w:val="bullet"/>
      <w:lvlText w:val="•"/>
      <w:lvlJc w:val="left"/>
      <w:pPr>
        <w:ind w:left="6360" w:hanging="436"/>
      </w:pPr>
      <w:rPr/>
    </w:lvl>
    <w:lvl w:ilvl="8">
      <w:start w:val="1"/>
      <w:numFmt w:val="bullet"/>
      <w:lvlText w:val="•"/>
      <w:lvlJc w:val="left"/>
      <w:pPr>
        <w:ind w:left="7360" w:hanging="436"/>
      </w:pPr>
      <w:rPr/>
    </w:lvl>
  </w:abstractNum>
  <w:abstractNum w:abstractNumId="9">
    <w:lvl w:ilvl="0">
      <w:start w:val="4"/>
      <w:numFmt w:val="decimal"/>
      <w:lvlText w:val="%1"/>
      <w:lvlJc w:val="left"/>
      <w:pPr>
        <w:ind w:left="941" w:hanging="721"/>
      </w:pPr>
      <w:rPr/>
    </w:lvl>
    <w:lvl w:ilvl="1">
      <w:start w:val="2"/>
      <w:numFmt w:val="decimal"/>
      <w:lvlText w:val="%1.%2"/>
      <w:lvlJc w:val="left"/>
      <w:pPr>
        <w:ind w:left="941" w:hanging="721"/>
      </w:pPr>
      <w:rPr/>
    </w:lvl>
    <w:lvl w:ilvl="2">
      <w:start w:val="1"/>
      <w:numFmt w:val="decimal"/>
      <w:lvlText w:val="%1.%2.%3"/>
      <w:lvlJc w:val="left"/>
      <w:pPr>
        <w:ind w:left="941" w:hanging="721"/>
      </w:pPr>
      <w:rPr>
        <w:rFonts w:ascii="Arial Black" w:cs="Arial Black" w:eastAsia="Arial Black" w:hAnsi="Arial Black"/>
        <w:color w:val="bfbfbf"/>
        <w:sz w:val="24"/>
        <w:szCs w:val="24"/>
      </w:rPr>
    </w:lvl>
    <w:lvl w:ilvl="3">
      <w:start w:val="1"/>
      <w:numFmt w:val="bullet"/>
      <w:lvlText w:val="•"/>
      <w:lvlJc w:val="left"/>
      <w:pPr>
        <w:ind w:left="3466" w:hanging="721"/>
      </w:pPr>
      <w:rPr/>
    </w:lvl>
    <w:lvl w:ilvl="4">
      <w:start w:val="1"/>
      <w:numFmt w:val="bullet"/>
      <w:lvlText w:val="•"/>
      <w:lvlJc w:val="left"/>
      <w:pPr>
        <w:ind w:left="4308" w:hanging="720.9999999999995"/>
      </w:pPr>
      <w:rPr/>
    </w:lvl>
    <w:lvl w:ilvl="5">
      <w:start w:val="1"/>
      <w:numFmt w:val="bullet"/>
      <w:lvlText w:val="•"/>
      <w:lvlJc w:val="left"/>
      <w:pPr>
        <w:ind w:left="5150" w:hanging="721"/>
      </w:pPr>
      <w:rPr/>
    </w:lvl>
    <w:lvl w:ilvl="6">
      <w:start w:val="1"/>
      <w:numFmt w:val="bullet"/>
      <w:lvlText w:val="•"/>
      <w:lvlJc w:val="left"/>
      <w:pPr>
        <w:ind w:left="5992" w:hanging="721"/>
      </w:pPr>
      <w:rPr/>
    </w:lvl>
    <w:lvl w:ilvl="7">
      <w:start w:val="1"/>
      <w:numFmt w:val="bullet"/>
      <w:lvlText w:val="•"/>
      <w:lvlJc w:val="left"/>
      <w:pPr>
        <w:ind w:left="6834" w:hanging="721"/>
      </w:pPr>
      <w:rPr/>
    </w:lvl>
    <w:lvl w:ilvl="8">
      <w:start w:val="1"/>
      <w:numFmt w:val="bullet"/>
      <w:lvlText w:val="•"/>
      <w:lvlJc w:val="left"/>
      <w:pPr>
        <w:ind w:left="7676" w:hanging="721"/>
      </w:pPr>
      <w:rPr/>
    </w:lvl>
  </w:abstractNum>
  <w:abstractNum w:abstractNumId="10">
    <w:lvl w:ilvl="0">
      <w:start w:val="1"/>
      <w:numFmt w:val="bullet"/>
      <w:lvlText w:val="●"/>
      <w:lvlJc w:val="left"/>
      <w:pPr>
        <w:ind w:left="1302" w:hanging="361"/>
      </w:pPr>
      <w:rPr>
        <w:rFonts w:ascii="Arial" w:cs="Arial" w:eastAsia="Arial" w:hAnsi="Arial"/>
        <w:sz w:val="24"/>
        <w:szCs w:val="24"/>
      </w:rPr>
    </w:lvl>
    <w:lvl w:ilvl="1">
      <w:start w:val="1"/>
      <w:numFmt w:val="bullet"/>
      <w:lvlText w:val="•"/>
      <w:lvlJc w:val="left"/>
      <w:pPr>
        <w:ind w:left="2106" w:hanging="361"/>
      </w:pPr>
      <w:rPr/>
    </w:lvl>
    <w:lvl w:ilvl="2">
      <w:start w:val="1"/>
      <w:numFmt w:val="bullet"/>
      <w:lvlText w:val="•"/>
      <w:lvlJc w:val="left"/>
      <w:pPr>
        <w:ind w:left="2912" w:hanging="361"/>
      </w:pPr>
      <w:rPr/>
    </w:lvl>
    <w:lvl w:ilvl="3">
      <w:start w:val="1"/>
      <w:numFmt w:val="bullet"/>
      <w:lvlText w:val="•"/>
      <w:lvlJc w:val="left"/>
      <w:pPr>
        <w:ind w:left="3718" w:hanging="361"/>
      </w:pPr>
      <w:rPr/>
    </w:lvl>
    <w:lvl w:ilvl="4">
      <w:start w:val="1"/>
      <w:numFmt w:val="bullet"/>
      <w:lvlText w:val="•"/>
      <w:lvlJc w:val="left"/>
      <w:pPr>
        <w:ind w:left="4524" w:hanging="361"/>
      </w:pPr>
      <w:rPr/>
    </w:lvl>
    <w:lvl w:ilvl="5">
      <w:start w:val="1"/>
      <w:numFmt w:val="bullet"/>
      <w:lvlText w:val="•"/>
      <w:lvlJc w:val="left"/>
      <w:pPr>
        <w:ind w:left="5330" w:hanging="361"/>
      </w:pPr>
      <w:rPr/>
    </w:lvl>
    <w:lvl w:ilvl="6">
      <w:start w:val="1"/>
      <w:numFmt w:val="bullet"/>
      <w:lvlText w:val="•"/>
      <w:lvlJc w:val="left"/>
      <w:pPr>
        <w:ind w:left="6136" w:hanging="361"/>
      </w:pPr>
      <w:rPr/>
    </w:lvl>
    <w:lvl w:ilvl="7">
      <w:start w:val="1"/>
      <w:numFmt w:val="bullet"/>
      <w:lvlText w:val="•"/>
      <w:lvlJc w:val="left"/>
      <w:pPr>
        <w:ind w:left="6942" w:hanging="361"/>
      </w:pPr>
      <w:rPr/>
    </w:lvl>
    <w:lvl w:ilvl="8">
      <w:start w:val="1"/>
      <w:numFmt w:val="bullet"/>
      <w:lvlText w:val="•"/>
      <w:lvlJc w:val="left"/>
      <w:pPr>
        <w:ind w:left="7748" w:hanging="361.000000000001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Black" w:cs="Arial Black" w:eastAsia="Arial Black" w:hAnsi="Arial Black"/>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941" w:hanging="721"/>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4436A"/>
    <w:rPr>
      <w:rFonts w:ascii="Arial" w:cs="Arial" w:eastAsia="Arial" w:hAnsi="Arial"/>
      <w:b w:val="1"/>
      <w:bCs w:val="1"/>
      <w:sz w:val="24"/>
      <w:szCs w:val="24"/>
      <w:lang w:val="en-US"/>
    </w:rPr>
  </w:style>
  <w:style w:type="paragraph" w:styleId="BodyText">
    <w:name w:val="Body Text"/>
    <w:basedOn w:val="Normal"/>
    <w:link w:val="BodyTextChar"/>
    <w:uiPriority w:val="1"/>
    <w:qFormat w:val="1"/>
    <w:rsid w:val="0074436A"/>
    <w:rPr>
      <w:sz w:val="24"/>
      <w:szCs w:val="24"/>
    </w:rPr>
  </w:style>
  <w:style w:type="character" w:styleId="BodyTextChar" w:customStyle="1">
    <w:name w:val="Body Text Char"/>
    <w:basedOn w:val="DefaultParagraphFont"/>
    <w:link w:val="BodyText"/>
    <w:uiPriority w:val="1"/>
    <w:rsid w:val="0074436A"/>
    <w:rPr>
      <w:rFonts w:ascii="Arial Black" w:cs="Arial Black" w:eastAsia="Arial Black" w:hAnsi="Arial Black"/>
      <w:sz w:val="24"/>
      <w:szCs w:val="24"/>
      <w:lang w:val="en-US"/>
    </w:rPr>
  </w:style>
  <w:style w:type="paragraph" w:styleId="ListParagraph">
    <w:name w:val="List Paragraph"/>
    <w:basedOn w:val="Normal"/>
    <w:uiPriority w:val="1"/>
    <w:qFormat w:val="1"/>
    <w:rsid w:val="0074436A"/>
    <w:pPr>
      <w:spacing w:before="67"/>
      <w:ind w:left="941" w:hanging="721"/>
    </w:pPr>
  </w:style>
  <w:style w:type="paragraph" w:styleId="TableParagraph" w:customStyle="1">
    <w:name w:val="Table Paragraph"/>
    <w:basedOn w:val="Normal"/>
    <w:uiPriority w:val="1"/>
    <w:qFormat w:val="1"/>
    <w:rsid w:val="0074436A"/>
    <w:pPr>
      <w:spacing w:line="312" w:lineRule="exact"/>
      <w:ind w:left="95"/>
    </w:pPr>
  </w:style>
  <w:style w:type="paragraph" w:styleId="Header">
    <w:name w:val="header"/>
    <w:basedOn w:val="Normal"/>
    <w:link w:val="HeaderChar"/>
    <w:uiPriority w:val="99"/>
    <w:unhideWhenUsed w:val="1"/>
    <w:rsid w:val="0074436A"/>
    <w:pPr>
      <w:tabs>
        <w:tab w:val="center" w:pos="4513"/>
        <w:tab w:val="right" w:pos="9026"/>
      </w:tabs>
    </w:pPr>
  </w:style>
  <w:style w:type="character" w:styleId="HeaderChar" w:customStyle="1">
    <w:name w:val="Header Char"/>
    <w:basedOn w:val="DefaultParagraphFont"/>
    <w:link w:val="Header"/>
    <w:uiPriority w:val="99"/>
    <w:rsid w:val="0074436A"/>
    <w:rPr>
      <w:rFonts w:ascii="Arial Black" w:cs="Arial Black" w:eastAsia="Arial Black" w:hAnsi="Arial Black"/>
      <w:lang w:val="en-US"/>
    </w:rPr>
  </w:style>
  <w:style w:type="paragraph" w:styleId="Footer">
    <w:name w:val="footer"/>
    <w:basedOn w:val="Normal"/>
    <w:link w:val="FooterChar"/>
    <w:uiPriority w:val="99"/>
    <w:unhideWhenUsed w:val="1"/>
    <w:rsid w:val="0074436A"/>
    <w:pPr>
      <w:tabs>
        <w:tab w:val="center" w:pos="4513"/>
        <w:tab w:val="right" w:pos="9026"/>
      </w:tabs>
    </w:pPr>
  </w:style>
  <w:style w:type="character" w:styleId="FooterChar" w:customStyle="1">
    <w:name w:val="Footer Char"/>
    <w:basedOn w:val="DefaultParagraphFont"/>
    <w:link w:val="Footer"/>
    <w:uiPriority w:val="99"/>
    <w:rsid w:val="0074436A"/>
    <w:rPr>
      <w:rFonts w:ascii="Arial Black" w:cs="Arial Black" w:eastAsia="Arial Black" w:hAnsi="Arial Black"/>
      <w:lang w:val="en-US"/>
    </w:rPr>
  </w:style>
  <w:style w:type="paragraph" w:styleId="TOC1">
    <w:name w:val="toc 1"/>
    <w:basedOn w:val="Normal"/>
    <w:uiPriority w:val="1"/>
    <w:qFormat w:val="1"/>
    <w:rsid w:val="00E6347A"/>
    <w:pPr>
      <w:spacing w:before="135"/>
      <w:ind w:left="729" w:hanging="270"/>
    </w:pPr>
    <w:rPr>
      <w:rFonts w:ascii="Calibri" w:cs="Calibri" w:eastAsia="Calibri" w:hAnsi="Calibri"/>
      <w:lang w:bidi="en-GB" w:eastAsia="en-GB" w:val="en-GB"/>
    </w:rPr>
  </w:style>
  <w:style w:type="paragraph" w:styleId="TOC2">
    <w:name w:val="toc 2"/>
    <w:basedOn w:val="Normal"/>
    <w:uiPriority w:val="1"/>
    <w:qFormat w:val="1"/>
    <w:rsid w:val="00E6347A"/>
    <w:pPr>
      <w:spacing w:before="135"/>
      <w:ind w:left="1074" w:hanging="332"/>
    </w:pPr>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8.xml"/><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eader" Target="header3.xml"/><Relationship Id="rId14" Type="http://schemas.openxmlformats.org/officeDocument/2006/relationships/footer" Target="footer4.xml"/><Relationship Id="rId17" Type="http://schemas.openxmlformats.org/officeDocument/2006/relationships/footer" Target="footer6.xml"/><Relationship Id="rId16" Type="http://schemas.openxmlformats.org/officeDocument/2006/relationships/footer" Target="footer5.xml"/><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footer" Target="footer7.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l5/WEb6OymIm14Cdd2HvPSSVw==">CgMxLjA4AHIhMVMwMm1hQnpCaE0xeW04UTBqMEFsNWJEYUx2cEZ5RUZJ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2020-06-23T18:03:00Z</dcterms:created>
  <dc:creator>Taylor Cousins</dc:creator>
</cp:coreProperties>
</file>